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hint="eastAsia" w:ascii="黑体" w:hAnsi="黑体" w:eastAsia="黑体"/>
                <w:sz w:val="21"/>
                <w:szCs w:val="21"/>
              </w:rPr>
              <w:t>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8"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1468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 1468-2017</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苹果园间伐改形技术规程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0" w:name="BookMark1"/>
      <w:bookmarkStart w:id="21" w:name="_Toc165665783"/>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"_Toc165666620" </w:instrText>
      </w:r>
      <w:r>
        <w:fldChar w:fldCharType="separate"/>
      </w:r>
      <w:r>
        <w:rPr>
          <w:rStyle w:val="32"/>
          <w:rFonts w:hint="eastAsia"/>
        </w:rPr>
        <w:t>前言</w:t>
      </w:r>
      <w:r>
        <w:tab/>
      </w:r>
      <w:r>
        <w:fldChar w:fldCharType="begin"/>
      </w:r>
      <w:r>
        <w:instrText xml:space="preserve"> PAGEREF _Toc165666620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"_Toc165666621" </w:instrText>
      </w:r>
      <w:r>
        <w:fldChar w:fldCharType="separate"/>
      </w:r>
      <w:r>
        <w:rPr>
          <w:rStyle w:val="32"/>
        </w:rPr>
        <w:t xml:space="preserve">1 </w:t>
      </w:r>
      <w:r>
        <w:rPr>
          <w:rStyle w:val="32"/>
          <w:rFonts w:hint="eastAsia"/>
        </w:rPr>
        <w:t xml:space="preserve"> 范围</w:t>
      </w:r>
      <w:r>
        <w:tab/>
      </w:r>
      <w:r>
        <w:fldChar w:fldCharType="begin"/>
      </w:r>
      <w:r>
        <w:instrText xml:space="preserve"> PAGEREF _Toc165666621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"_Toc165666622"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_Toc165666622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"_Toc165666623"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_Toc165666623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"_Toc165666624" </w:instrText>
      </w:r>
      <w:r>
        <w:fldChar w:fldCharType="separate"/>
      </w:r>
      <w:r>
        <w:rPr>
          <w:rStyle w:val="32"/>
        </w:rPr>
        <w:t xml:space="preserve">4 </w:t>
      </w:r>
      <w:r>
        <w:rPr>
          <w:rStyle w:val="32"/>
          <w:rFonts w:hint="eastAsia"/>
        </w:rPr>
        <w:t xml:space="preserve"> 间伐改形果园</w:t>
      </w:r>
      <w:r>
        <w:tab/>
      </w:r>
      <w:r>
        <w:fldChar w:fldCharType="begin"/>
      </w:r>
      <w:r>
        <w:instrText xml:space="preserve"> PAGEREF _Toc165666624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"_Toc165666625" </w:instrText>
      </w:r>
      <w:r>
        <w:fldChar w:fldCharType="separate"/>
      </w:r>
      <w:r>
        <w:rPr>
          <w:rStyle w:val="32"/>
        </w:rPr>
        <w:t xml:space="preserve">5 </w:t>
      </w:r>
      <w:r>
        <w:rPr>
          <w:rStyle w:val="32"/>
          <w:rFonts w:hint="eastAsia"/>
        </w:rPr>
        <w:t xml:space="preserve"> 间伐改形目标</w:t>
      </w:r>
      <w:r>
        <w:tab/>
      </w:r>
      <w:r>
        <w:fldChar w:fldCharType="begin"/>
      </w:r>
      <w:r>
        <w:instrText xml:space="preserve"> PAGEREF _Toc165666625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"_Toc165666626" </w:instrText>
      </w:r>
      <w:r>
        <w:fldChar w:fldCharType="separate"/>
      </w:r>
      <w:r>
        <w:rPr>
          <w:rStyle w:val="32"/>
        </w:rPr>
        <w:t xml:space="preserve">6 </w:t>
      </w:r>
      <w:r>
        <w:rPr>
          <w:rStyle w:val="32"/>
          <w:rFonts w:hint="eastAsia"/>
        </w:rPr>
        <w:t xml:space="preserve"> 间伐</w:t>
      </w:r>
      <w:r>
        <w:tab/>
      </w:r>
      <w:r>
        <w:fldChar w:fldCharType="begin"/>
      </w:r>
      <w:r>
        <w:instrText xml:space="preserve"> PAGEREF _Toc165666626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"_Toc165666627" </w:instrText>
      </w:r>
      <w:r>
        <w:fldChar w:fldCharType="separate"/>
      </w:r>
      <w:r>
        <w:rPr>
          <w:rStyle w:val="32"/>
        </w:rPr>
        <w:t xml:space="preserve">7 </w:t>
      </w:r>
      <w:r>
        <w:rPr>
          <w:rStyle w:val="32"/>
          <w:rFonts w:hint="eastAsia"/>
        </w:rPr>
        <w:t xml:space="preserve"> 改形</w:t>
      </w:r>
      <w:r>
        <w:tab/>
      </w:r>
      <w:r>
        <w:fldChar w:fldCharType="begin"/>
      </w:r>
      <w:r>
        <w:instrText xml:space="preserve"> PAGEREF _Toc165666627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"_Toc165666628" </w:instrText>
      </w:r>
      <w:r>
        <w:fldChar w:fldCharType="separate"/>
      </w:r>
      <w:r>
        <w:rPr>
          <w:rStyle w:val="32"/>
        </w:rPr>
        <w:t xml:space="preserve">8 </w:t>
      </w:r>
      <w:r>
        <w:rPr>
          <w:rStyle w:val="32"/>
          <w:rFonts w:hint="eastAsia"/>
        </w:rPr>
        <w:t xml:space="preserve"> 花果管理</w:t>
      </w:r>
      <w:r>
        <w:tab/>
      </w:r>
      <w:r>
        <w:fldChar w:fldCharType="begin"/>
      </w:r>
      <w:r>
        <w:instrText xml:space="preserve"> PAGEREF _Toc165666628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"_Toc165666629" </w:instrText>
      </w:r>
      <w:r>
        <w:fldChar w:fldCharType="separate"/>
      </w:r>
      <w:r>
        <w:rPr>
          <w:rStyle w:val="32"/>
        </w:rPr>
        <w:t xml:space="preserve">9 </w:t>
      </w:r>
      <w:r>
        <w:rPr>
          <w:rStyle w:val="32"/>
          <w:rFonts w:hint="eastAsia"/>
        </w:rPr>
        <w:t xml:space="preserve"> 肥水管理</w:t>
      </w:r>
      <w:r>
        <w:tab/>
      </w:r>
      <w:r>
        <w:fldChar w:fldCharType="begin"/>
      </w:r>
      <w:r>
        <w:instrText xml:space="preserve"> PAGEREF _Toc165666629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"_Toc165666630" </w:instrText>
      </w:r>
      <w:r>
        <w:fldChar w:fldCharType="separate"/>
      </w:r>
      <w:r>
        <w:rPr>
          <w:rStyle w:val="32"/>
        </w:rPr>
        <w:t xml:space="preserve">10 </w:t>
      </w:r>
      <w:r>
        <w:rPr>
          <w:rStyle w:val="32"/>
          <w:rFonts w:hint="eastAsia"/>
        </w:rPr>
        <w:t xml:space="preserve"> 病虫害防治</w:t>
      </w:r>
      <w:r>
        <w:tab/>
      </w:r>
      <w:r>
        <w:fldChar w:fldCharType="begin"/>
      </w:r>
      <w:r>
        <w:instrText xml:space="preserve"> PAGEREF _Toc165666630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"_Toc165666631" </w:instrText>
      </w:r>
      <w:r>
        <w:fldChar w:fldCharType="separate"/>
      </w:r>
      <w:r>
        <w:rPr>
          <w:rStyle w:val="32"/>
        </w:rPr>
        <w:t xml:space="preserve">11 </w:t>
      </w:r>
      <w:r>
        <w:rPr>
          <w:rStyle w:val="32"/>
          <w:rFonts w:hint="eastAsia"/>
        </w:rPr>
        <w:t xml:space="preserve"> 生产档案</w:t>
      </w:r>
      <w:r>
        <w:tab/>
      </w:r>
      <w:r>
        <w:fldChar w:fldCharType="begin"/>
      </w:r>
      <w:r>
        <w:instrText xml:space="preserve"> PAGEREF _Toc165666631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"_Toc165666632" </w:instrText>
      </w:r>
      <w:r>
        <w:fldChar w:fldCharType="separate"/>
      </w:r>
      <w:r>
        <w:rPr>
          <w:rStyle w:val="32"/>
          <w:rFonts w:hint="eastAsia"/>
        </w:rPr>
        <w:t>附录A（资料性）</w:t>
      </w:r>
      <w:r>
        <w:rPr>
          <w:rStyle w:val="32"/>
        </w:rPr>
        <w:t xml:space="preserve">  </w:t>
      </w:r>
      <w:r>
        <w:rPr>
          <w:rStyle w:val="32"/>
          <w:rFonts w:hint="eastAsia"/>
        </w:rPr>
        <w:t>苹果园间伐改形生产档案</w:t>
      </w:r>
      <w:r>
        <w:tab/>
      </w:r>
      <w:r>
        <w:fldChar w:fldCharType="begin"/>
      </w:r>
      <w:r>
        <w:instrText xml:space="preserve"> PAGEREF _Toc165666632 \h </w:instrText>
      </w:r>
      <w:r>
        <w:fldChar w:fldCharType="separate"/>
      </w:r>
      <w:r>
        <w:t>4</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89"/>
        <w:spacing w:before="900" w:after="468"/>
      </w:pPr>
      <w:bookmarkStart w:id="22" w:name="_Toc165666620"/>
      <w:bookmarkStart w:id="23" w:name="BookMark2"/>
      <w:r>
        <w:rPr>
          <w:spacing w:val="320"/>
        </w:rPr>
        <w:t>前</w:t>
      </w:r>
      <w:r>
        <w:t>言</w:t>
      </w:r>
      <w:bookmarkEnd w:id="21"/>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本文件代替DB14/T 1468-2017《苹果园间伐改形技术规程》，与DB14/T 1468-2017相比，除结构调整和编辑性改动外，主要技术变化如下：</w:t>
      </w:r>
    </w:p>
    <w:p>
      <w:pPr>
        <w:pStyle w:val="56"/>
        <w:ind w:firstLine="420"/>
      </w:pPr>
      <w:r>
        <w:rPr>
          <w:rFonts w:hint="eastAsia"/>
        </w:rPr>
        <w:t>——增加了“间伐改形果园”（见4）；</w:t>
      </w:r>
    </w:p>
    <w:p>
      <w:pPr>
        <w:pStyle w:val="56"/>
        <w:ind w:firstLine="420"/>
      </w:pPr>
      <w:r>
        <w:rPr>
          <w:rFonts w:hint="eastAsia"/>
        </w:rPr>
        <w:t>——更改了“改形”的内容（见7，2017版7）；</w:t>
      </w:r>
    </w:p>
    <w:p>
      <w:pPr>
        <w:pStyle w:val="56"/>
        <w:ind w:firstLine="420"/>
      </w:pPr>
      <w:r>
        <w:rPr>
          <w:rFonts w:hint="eastAsia"/>
        </w:rPr>
        <w:t>——增加了“生产档案”的内容（见11）。</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本文件起草单位：山西省园艺产业发展中心、临猗县果业发展中心、临猗县双赢果业科技有限公司。</w:t>
      </w:r>
    </w:p>
    <w:p>
      <w:pPr>
        <w:pStyle w:val="56"/>
        <w:ind w:firstLine="420"/>
      </w:pPr>
      <w:r>
        <w:rPr>
          <w:rFonts w:hint="eastAsia"/>
        </w:rPr>
        <w:t>本文件主要起草人：刘瑞宇、尉亚妮、贺光华、王焕英、郭烨、江山、杨勇、张文军、史丽娟、马琳军、曹涌、王帆</w:t>
      </w:r>
      <w:r>
        <w:rPr>
          <w:rFonts w:hint="eastAsia"/>
          <w:lang w:eastAsia="zh-CN"/>
        </w:rPr>
        <w:t>、</w:t>
      </w:r>
      <w:r>
        <w:rPr>
          <w:rFonts w:hint="eastAsia"/>
        </w:rPr>
        <w:t>葛志鹏、解学礼。</w:t>
      </w:r>
    </w:p>
    <w:p>
      <w:pPr>
        <w:pStyle w:val="56"/>
        <w:ind w:firstLine="420"/>
      </w:pPr>
      <w:r>
        <w:rPr>
          <w:rFonts w:hint="eastAsia"/>
        </w:rPr>
        <w:t>本文件及其所代替文件的历次版本发布情况为：</w:t>
      </w:r>
    </w:p>
    <w:p>
      <w:pPr>
        <w:pStyle w:val="56"/>
        <w:ind w:firstLine="420"/>
      </w:pPr>
      <w:r>
        <w:rPr>
          <w:rFonts w:hint="eastAsia"/>
        </w:rPr>
        <w:t>——本文件于2017年首次发布为DB14/T 1468-2017；</w:t>
      </w:r>
    </w:p>
    <w:p>
      <w:pPr>
        <w:pStyle w:val="56"/>
        <w:ind w:firstLine="420"/>
      </w:pPr>
      <w:r>
        <w:rPr>
          <w:rFonts w:hint="eastAsia"/>
        </w:rPr>
        <w:t>——本次为第一次修订。</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C1EABF36F1874C859D3438E8C9BF452D"/>
        </w:placeholder>
      </w:sdtPr>
      <w:sdtContent>
        <w:p>
          <w:pPr>
            <w:pStyle w:val="177"/>
            <w:spacing w:before="312" w:beforeLines="100" w:after="686" w:afterLines="220"/>
          </w:pPr>
          <w:bookmarkStart w:id="25" w:name="NEW_STAND_NAME"/>
          <w:r>
            <w:rPr>
              <w:rFonts w:hint="eastAsia"/>
            </w:rPr>
            <w:t>苹果园间伐改形技术规程</w:t>
          </w:r>
        </w:p>
      </w:sdtContent>
    </w:sdt>
    <w:bookmarkEnd w:id="25"/>
    <w:p>
      <w:pPr>
        <w:pStyle w:val="104"/>
        <w:spacing w:before="312" w:after="312"/>
      </w:pPr>
      <w:bookmarkStart w:id="26" w:name="_Toc26986771"/>
      <w:bookmarkStart w:id="27" w:name="_Toc165666621"/>
      <w:bookmarkStart w:id="28" w:name="_Toc24884218"/>
      <w:bookmarkStart w:id="29" w:name="_Toc26648465"/>
      <w:bookmarkStart w:id="30" w:name="_Toc17233333"/>
      <w:bookmarkStart w:id="31" w:name="_Toc26718930"/>
      <w:bookmarkStart w:id="32" w:name="_Toc17233325"/>
      <w:bookmarkStart w:id="33" w:name="_Toc26986530"/>
      <w:bookmarkStart w:id="34" w:name="_Toc97191423"/>
      <w:bookmarkStart w:id="35" w:name="_Toc24884211"/>
      <w:bookmarkStart w:id="36" w:name="_Toc165665784"/>
      <w:r>
        <w:rPr>
          <w:rFonts w:hint="eastAsia"/>
        </w:rPr>
        <w:t>范围</w:t>
      </w:r>
      <w:bookmarkEnd w:id="26"/>
      <w:bookmarkEnd w:id="27"/>
      <w:bookmarkEnd w:id="28"/>
      <w:bookmarkEnd w:id="29"/>
      <w:bookmarkEnd w:id="30"/>
      <w:bookmarkEnd w:id="31"/>
      <w:bookmarkEnd w:id="32"/>
      <w:bookmarkEnd w:id="33"/>
      <w:bookmarkEnd w:id="34"/>
      <w:bookmarkEnd w:id="35"/>
      <w:bookmarkEnd w:id="36"/>
    </w:p>
    <w:p>
      <w:pPr>
        <w:pStyle w:val="56"/>
        <w:ind w:firstLine="420"/>
      </w:pPr>
      <w:bookmarkStart w:id="37" w:name="_Toc17233334"/>
      <w:bookmarkStart w:id="38" w:name="_Toc17233326"/>
      <w:bookmarkStart w:id="39" w:name="_Toc26648466"/>
      <w:bookmarkStart w:id="40" w:name="_Toc24884212"/>
      <w:bookmarkStart w:id="41" w:name="_Toc24884219"/>
      <w:r>
        <w:rPr>
          <w:rFonts w:hint="eastAsia"/>
        </w:rPr>
        <w:t>本文件规定了苹果园间伐改形的术语和定义、间伐改形果园、间伐改形目标、间伐、改形、花果管理、肥水管理、病虫害防治及生产档案。</w:t>
      </w:r>
    </w:p>
    <w:p>
      <w:pPr>
        <w:pStyle w:val="56"/>
        <w:ind w:firstLine="420"/>
      </w:pPr>
      <w:r>
        <w:rPr>
          <w:rFonts w:hint="eastAsia"/>
        </w:rPr>
        <w:t>本文件适用于丘陵区、边山丘陵区及平川区行间交接、株间交叉的郁闭乔化苹果果园。</w:t>
      </w:r>
    </w:p>
    <w:p>
      <w:pPr>
        <w:pStyle w:val="104"/>
        <w:spacing w:before="312" w:after="312"/>
      </w:pPr>
      <w:bookmarkStart w:id="42" w:name="_Toc26986531"/>
      <w:bookmarkStart w:id="43" w:name="_Toc26986772"/>
      <w:bookmarkStart w:id="44" w:name="_Toc97191424"/>
      <w:bookmarkStart w:id="45" w:name="_Toc26718931"/>
      <w:bookmarkStart w:id="46" w:name="_Toc165665785"/>
      <w:bookmarkStart w:id="47" w:name="_Toc16566662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217AD51556424D6893573AD29099A0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NY/T 441 苹果生产技术规程</w:t>
      </w:r>
    </w:p>
    <w:p>
      <w:pPr>
        <w:pStyle w:val="56"/>
        <w:ind w:firstLine="420"/>
      </w:pPr>
      <w:r>
        <w:rPr>
          <w:rFonts w:hint="eastAsia"/>
        </w:rPr>
        <w:t>NY/T 1082 黄土高原苹果生产技术规程</w:t>
      </w:r>
    </w:p>
    <w:p>
      <w:pPr>
        <w:pStyle w:val="56"/>
        <w:ind w:firstLine="420"/>
      </w:pPr>
      <w:r>
        <w:rPr>
          <w:rFonts w:hint="eastAsia"/>
        </w:rPr>
        <w:t>NY/T 1084 红富士苹果生产技术规程</w:t>
      </w:r>
    </w:p>
    <w:p>
      <w:pPr>
        <w:pStyle w:val="56"/>
        <w:ind w:firstLine="420"/>
      </w:pPr>
      <w:r>
        <w:rPr>
          <w:rFonts w:hint="eastAsia"/>
        </w:rPr>
        <w:t>NY/T 1505 水果套袋技术规程 苹果</w:t>
      </w:r>
    </w:p>
    <w:p>
      <w:pPr>
        <w:pStyle w:val="104"/>
        <w:spacing w:before="312" w:after="312"/>
      </w:pPr>
      <w:bookmarkStart w:id="48" w:name="_Toc165665786"/>
      <w:bookmarkStart w:id="49" w:name="_Toc97191425"/>
      <w:bookmarkStart w:id="50" w:name="_Toc165666623"/>
      <w:r>
        <w:rPr>
          <w:rFonts w:hint="eastAsia"/>
          <w:szCs w:val="21"/>
        </w:rPr>
        <w:t>术语和定义</w:t>
      </w:r>
      <w:bookmarkEnd w:id="48"/>
      <w:bookmarkEnd w:id="49"/>
      <w:bookmarkEnd w:id="50"/>
    </w:p>
    <w:sdt>
      <w:sdtPr>
        <w:id w:val="-1909835108"/>
        <w:placeholder>
          <w:docPart w:val="4FF6788448A2458A88B7B84AE0B56C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1" w:name="_Toc26986532"/>
          <w:bookmarkEnd w:id="51"/>
          <w:r>
            <w:t>下列术语和定义适用于本文件。</w:t>
          </w:r>
        </w:p>
      </w:sdtContent>
    </w:sdt>
    <w:p>
      <w:pPr>
        <w:pStyle w:val="105"/>
        <w:spacing w:before="156" w:after="156"/>
      </w:pPr>
    </w:p>
    <w:p>
      <w:pPr>
        <w:pStyle w:val="105"/>
        <w:numPr>
          <w:ilvl w:val="0"/>
          <w:numId w:val="0"/>
        </w:numPr>
        <w:spacing w:before="156" w:after="156"/>
        <w:ind w:firstLine="420" w:firstLineChars="200"/>
      </w:pPr>
      <w:r>
        <w:rPr>
          <w:rFonts w:hint="eastAsia"/>
        </w:rPr>
        <w:t>间伐</w:t>
      </w:r>
    </w:p>
    <w:p>
      <w:pPr>
        <w:pStyle w:val="56"/>
        <w:ind w:firstLine="420"/>
      </w:pPr>
      <w:r>
        <w:rPr>
          <w:rFonts w:hint="eastAsia"/>
        </w:rPr>
        <w:t>根据果园密度和树体状况，采用隔行、隔株或梅花桩方式去除，降低果园栽植密度，改善果园通风透光的技术。</w:t>
      </w:r>
    </w:p>
    <w:p>
      <w:pPr>
        <w:pStyle w:val="105"/>
        <w:spacing w:before="156" w:after="156"/>
      </w:pPr>
      <w:r>
        <w:rPr>
          <w:rFonts w:hint="eastAsia"/>
        </w:rPr>
        <w:t xml:space="preserve"> </w:t>
      </w:r>
    </w:p>
    <w:p>
      <w:pPr>
        <w:pStyle w:val="105"/>
        <w:numPr>
          <w:ilvl w:val="0"/>
          <w:numId w:val="0"/>
        </w:numPr>
        <w:spacing w:before="156" w:after="156"/>
        <w:ind w:firstLine="420" w:firstLineChars="200"/>
      </w:pPr>
      <w:r>
        <w:rPr>
          <w:rFonts w:hint="eastAsia" w:hAnsi="黑体"/>
        </w:rPr>
        <w:t>改形</w:t>
      </w:r>
    </w:p>
    <w:p>
      <w:pPr>
        <w:pStyle w:val="56"/>
        <w:ind w:firstLine="420"/>
      </w:pPr>
      <w:r>
        <w:rPr>
          <w:rFonts w:hint="eastAsia"/>
        </w:rPr>
        <w:t>根据果园树体结构、群体结构，调节枝组配比与空间分布，改善树体的通风透光的技术。</w:t>
      </w:r>
    </w:p>
    <w:p>
      <w:pPr>
        <w:pStyle w:val="104"/>
        <w:spacing w:before="312" w:after="312"/>
      </w:pPr>
      <w:bookmarkStart w:id="52" w:name="_Toc165665787"/>
      <w:bookmarkStart w:id="53" w:name="_Toc165666624"/>
      <w:r>
        <w:rPr>
          <w:rFonts w:hint="eastAsia"/>
        </w:rPr>
        <w:t>间伐改形果园</w:t>
      </w:r>
      <w:bookmarkEnd w:id="52"/>
      <w:bookmarkEnd w:id="53"/>
    </w:p>
    <w:p>
      <w:pPr>
        <w:pStyle w:val="56"/>
        <w:ind w:firstLine="420"/>
      </w:pPr>
      <w:r>
        <w:rPr>
          <w:rFonts w:hint="eastAsia" w:hAnsi="宋体"/>
        </w:rPr>
        <w:t>乔化苹果园树体生长多年后，</w:t>
      </w:r>
      <w:r>
        <w:rPr>
          <w:rFonts w:hint="eastAsia"/>
        </w:rPr>
        <w:t>行间交接、株间交叉，果园空间郁闭</w:t>
      </w:r>
      <w:r>
        <w:rPr>
          <w:rFonts w:hint="eastAsia" w:hAnsi="宋体"/>
        </w:rPr>
        <w:t>，无法进行正常的生产操作。果实产量和品质下降，需通过技术措施改善果园光照和空间，增加果实产量、提高品质。</w:t>
      </w:r>
    </w:p>
    <w:p>
      <w:pPr>
        <w:pStyle w:val="104"/>
        <w:spacing w:before="312" w:after="312"/>
      </w:pPr>
      <w:bookmarkStart w:id="54" w:name="_Toc165665788"/>
      <w:bookmarkStart w:id="55" w:name="_Toc165666625"/>
      <w:r>
        <w:rPr>
          <w:rFonts w:hint="eastAsia"/>
        </w:rPr>
        <w:t>间伐改形目标</w:t>
      </w:r>
      <w:bookmarkEnd w:id="54"/>
      <w:bookmarkEnd w:id="55"/>
    </w:p>
    <w:p>
      <w:pPr>
        <w:pStyle w:val="56"/>
        <w:ind w:firstLine="420"/>
      </w:pPr>
      <w:r>
        <w:rPr>
          <w:rFonts w:hint="eastAsia" w:hAnsi="宋体"/>
        </w:rPr>
        <w:t>逐年分步实施，3年～5年完成；掌握好修剪量，每年修剪量不超过总枝量的20%。</w:t>
      </w:r>
    </w:p>
    <w:p>
      <w:pPr>
        <w:pStyle w:val="105"/>
        <w:spacing w:before="156" w:after="156"/>
      </w:pPr>
      <w:r>
        <w:rPr>
          <w:rFonts w:hint="eastAsia"/>
        </w:rPr>
        <w:t>群体目标</w:t>
      </w:r>
    </w:p>
    <w:p>
      <w:pPr>
        <w:pStyle w:val="56"/>
        <w:ind w:firstLine="420"/>
      </w:pPr>
      <w:r>
        <w:rPr>
          <w:rFonts w:hint="eastAsia"/>
        </w:rPr>
        <w:t>树冠透光率不低于30%；冬剪后亩枝量6万条～8万条；果园地面覆盖率不超过75%；乔化栽培果园亩留20株～28株。</w:t>
      </w:r>
    </w:p>
    <w:p>
      <w:pPr>
        <w:pStyle w:val="105"/>
        <w:spacing w:before="156" w:after="156"/>
      </w:pPr>
      <w:r>
        <w:rPr>
          <w:rFonts w:hint="eastAsia"/>
        </w:rPr>
        <w:t>个体目标</w:t>
      </w:r>
    </w:p>
    <w:p>
      <w:pPr>
        <w:pStyle w:val="56"/>
        <w:ind w:firstLine="420"/>
      </w:pPr>
      <w:r>
        <w:rPr>
          <w:rFonts w:hint="eastAsia"/>
        </w:rPr>
        <w:t>主干干高1.2 m～1.7 m；树高3.5 m左右，不超过行距的70%；骨干枝数量 3个～5个；长、中、短枝比例为1：2：5或2：3：7。</w:t>
      </w:r>
    </w:p>
    <w:p>
      <w:pPr>
        <w:pStyle w:val="104"/>
        <w:spacing w:before="312" w:after="312"/>
      </w:pPr>
      <w:bookmarkStart w:id="56" w:name="_Toc165665789"/>
      <w:bookmarkStart w:id="57" w:name="_Toc165666626"/>
      <w:r>
        <w:rPr>
          <w:rFonts w:hint="eastAsia"/>
        </w:rPr>
        <w:t>间伐</w:t>
      </w:r>
      <w:bookmarkEnd w:id="56"/>
      <w:bookmarkEnd w:id="57"/>
      <w:bookmarkStart w:id="72" w:name="_GoBack"/>
      <w:bookmarkEnd w:id="72"/>
    </w:p>
    <w:p>
      <w:pPr>
        <w:pStyle w:val="105"/>
        <w:spacing w:before="156" w:after="156"/>
      </w:pPr>
      <w:r>
        <w:rPr>
          <w:rFonts w:hint="eastAsia"/>
        </w:rPr>
        <w:t>间伐前准备</w:t>
      </w:r>
    </w:p>
    <w:p>
      <w:pPr>
        <w:pStyle w:val="56"/>
        <w:ind w:firstLine="420"/>
      </w:pPr>
      <w:r>
        <w:rPr>
          <w:rFonts w:hint="eastAsia"/>
        </w:rPr>
        <w:t>整体观察果园，确定永久株、临时株当年间伐株，并做好标记。</w:t>
      </w:r>
    </w:p>
    <w:p>
      <w:pPr>
        <w:pStyle w:val="105"/>
        <w:spacing w:before="156" w:after="156"/>
      </w:pPr>
      <w:r>
        <w:rPr>
          <w:rFonts w:hint="eastAsia"/>
        </w:rPr>
        <w:t>间伐方法</w:t>
      </w:r>
    </w:p>
    <w:p>
      <w:pPr>
        <w:pStyle w:val="56"/>
        <w:ind w:firstLine="420"/>
      </w:pPr>
      <w:r>
        <w:rPr>
          <w:rFonts w:hint="eastAsia"/>
        </w:rPr>
        <w:t>株行距3 m×4 m的乔化苹果园，采用隔行、隔株或梅花桩方式，先一次调整为20株～28株每666.7 m</w:t>
      </w:r>
      <w:r>
        <w:rPr>
          <w:rFonts w:hint="eastAsia"/>
          <w:vertAlign w:val="superscript"/>
        </w:rPr>
        <w:t>2</w:t>
      </w:r>
      <w:r>
        <w:rPr>
          <w:rFonts w:hint="eastAsia"/>
        </w:rPr>
        <w:t>，根据树体发育情况再进行二次间伐；株行距2 m×4 m、2 m×3 m等其它类型的乔化苹果园，采用隔行、隔株或梅花桩方式，先一次调整为40株～45株每666.7 m</w:t>
      </w:r>
      <w:r>
        <w:rPr>
          <w:rFonts w:hint="eastAsia"/>
          <w:vertAlign w:val="superscript"/>
        </w:rPr>
        <w:t>2</w:t>
      </w:r>
      <w:r>
        <w:rPr>
          <w:rFonts w:hint="eastAsia"/>
        </w:rPr>
        <w:t>，根据树体发育情况再进行二次间伐。</w:t>
      </w:r>
    </w:p>
    <w:p>
      <w:pPr>
        <w:pStyle w:val="104"/>
        <w:spacing w:before="312" w:after="312"/>
      </w:pPr>
      <w:bookmarkStart w:id="58" w:name="_Toc165665790"/>
      <w:bookmarkStart w:id="59" w:name="_Toc165666627"/>
      <w:r>
        <w:rPr>
          <w:rFonts w:hint="eastAsia"/>
        </w:rPr>
        <w:t>改形</w:t>
      </w:r>
      <w:bookmarkEnd w:id="58"/>
      <w:bookmarkEnd w:id="59"/>
    </w:p>
    <w:p>
      <w:pPr>
        <w:pStyle w:val="105"/>
        <w:spacing w:before="156" w:after="156"/>
      </w:pPr>
      <w:r>
        <w:rPr>
          <w:rFonts w:hint="eastAsia"/>
        </w:rPr>
        <w:t>提干</w:t>
      </w:r>
    </w:p>
    <w:p>
      <w:pPr>
        <w:pStyle w:val="56"/>
        <w:ind w:firstLine="420"/>
      </w:pPr>
      <w:r>
        <w:rPr>
          <w:rFonts w:hint="eastAsia"/>
        </w:rPr>
        <w:t>通过回缩、短剪、疏除等综合改造措施，对基部主枝进行处理，每年的疏枝量不超过全树总枝量的三分之一。3年～4年完成，主干高度逐步达到目标树形干高指标。</w:t>
      </w:r>
    </w:p>
    <w:p>
      <w:pPr>
        <w:pStyle w:val="105"/>
        <w:spacing w:before="156" w:after="156"/>
      </w:pPr>
      <w:r>
        <w:rPr>
          <w:rFonts w:hint="eastAsia"/>
        </w:rPr>
        <w:t>落头</w:t>
      </w:r>
    </w:p>
    <w:p>
      <w:pPr>
        <w:pStyle w:val="56"/>
        <w:ind w:firstLine="420"/>
      </w:pPr>
      <w:r>
        <w:rPr>
          <w:rFonts w:hint="eastAsia"/>
        </w:rPr>
        <w:t>通过缓放、疏除等改造措施，对中心干延长头进行处理，完整疏除1个～2个骨干枝。2年～3年完成，缩至上部第一主枝为止。</w:t>
      </w:r>
    </w:p>
    <w:p>
      <w:pPr>
        <w:pStyle w:val="105"/>
        <w:spacing w:before="156" w:after="156"/>
      </w:pPr>
      <w:r>
        <w:rPr>
          <w:rFonts w:hint="eastAsia"/>
        </w:rPr>
        <w:t>疏枝</w:t>
      </w:r>
    </w:p>
    <w:p>
      <w:pPr>
        <w:pStyle w:val="56"/>
        <w:ind w:firstLine="420"/>
      </w:pPr>
      <w:r>
        <w:rPr>
          <w:rFonts w:hint="eastAsia"/>
        </w:rPr>
        <w:t>按照目标树形要求，选留好永久性主枝，逐年疏除中干上的过密枝、重叠枝、轮生枝等，改形后永久性主枝为平面的扇形结构。</w:t>
      </w:r>
    </w:p>
    <w:p>
      <w:pPr>
        <w:pStyle w:val="105"/>
        <w:spacing w:before="156" w:after="156"/>
      </w:pPr>
      <w:r>
        <w:rPr>
          <w:rFonts w:hint="eastAsia"/>
        </w:rPr>
        <w:t>缓放</w:t>
      </w:r>
    </w:p>
    <w:p>
      <w:pPr>
        <w:pStyle w:val="56"/>
        <w:ind w:firstLine="420"/>
      </w:pPr>
      <w:r>
        <w:rPr>
          <w:rFonts w:hint="eastAsia"/>
        </w:rPr>
        <w:t>对主枝上1年～2年生的强壮枝，通过3年～4年连续缓放，培养下垂状的结果枝组。已经开始结果的结果枝通过短截、回缩修剪，不断延伸枝条长度。</w:t>
      </w:r>
    </w:p>
    <w:p>
      <w:pPr>
        <w:pStyle w:val="105"/>
        <w:spacing w:before="156" w:after="156"/>
      </w:pPr>
      <w:r>
        <w:rPr>
          <w:rFonts w:hint="eastAsia"/>
        </w:rPr>
        <w:t>伤口保护</w:t>
      </w:r>
    </w:p>
    <w:p>
      <w:pPr>
        <w:pStyle w:val="56"/>
        <w:ind w:firstLine="420"/>
      </w:pPr>
      <w:r>
        <w:rPr>
          <w:rFonts w:hint="eastAsia"/>
        </w:rPr>
        <w:t>对树体剪锯口必须采取保护措施，大的伤口要及时进行包扎或药物保护，促进伤口及时愈合，防失水、防裂口、防腐烂。</w:t>
      </w:r>
    </w:p>
    <w:p>
      <w:pPr>
        <w:pStyle w:val="104"/>
        <w:spacing w:before="312" w:after="312"/>
      </w:pPr>
      <w:bookmarkStart w:id="60" w:name="_Toc165665791"/>
      <w:bookmarkStart w:id="61" w:name="_Toc165666628"/>
      <w:r>
        <w:rPr>
          <w:rFonts w:hint="eastAsia"/>
        </w:rPr>
        <w:t>花果管理</w:t>
      </w:r>
      <w:bookmarkEnd w:id="60"/>
      <w:bookmarkEnd w:id="61"/>
    </w:p>
    <w:p>
      <w:pPr>
        <w:pStyle w:val="56"/>
        <w:ind w:firstLine="420"/>
      </w:pPr>
      <w:r>
        <w:rPr>
          <w:rFonts w:hint="eastAsia"/>
        </w:rPr>
        <w:t>改形后，采用辅助授粉、疏花疏果、果实套袋、适期采收等综合技术措施，提高果实品质。具体技术措施按照NY/T 441、NY/T 1505的要求执行。</w:t>
      </w:r>
    </w:p>
    <w:p>
      <w:pPr>
        <w:pStyle w:val="104"/>
        <w:spacing w:before="312" w:after="312"/>
      </w:pPr>
      <w:bookmarkStart w:id="62" w:name="_Toc165665792"/>
      <w:bookmarkStart w:id="63" w:name="_Toc165666629"/>
      <w:r>
        <w:rPr>
          <w:rFonts w:hint="eastAsia"/>
        </w:rPr>
        <w:t>肥水管理</w:t>
      </w:r>
      <w:bookmarkEnd w:id="62"/>
      <w:bookmarkEnd w:id="63"/>
    </w:p>
    <w:p>
      <w:pPr>
        <w:pStyle w:val="56"/>
        <w:ind w:firstLine="420"/>
      </w:pPr>
      <w:r>
        <w:rPr>
          <w:rFonts w:hint="eastAsia"/>
        </w:rPr>
        <w:t>加强肥水管理，促进树体生长和树冠恢复。提倡果园生草、平衡施肥等方法提高果园土壤肥力，具体按照NY/T 1082、NY/T 1084的要求执行。</w:t>
      </w:r>
    </w:p>
    <w:p>
      <w:pPr>
        <w:pStyle w:val="104"/>
        <w:spacing w:before="312" w:after="312"/>
      </w:pPr>
      <w:bookmarkStart w:id="64" w:name="_Toc165665793"/>
      <w:bookmarkStart w:id="65" w:name="_Toc165666630"/>
      <w:r>
        <w:rPr>
          <w:rFonts w:hint="eastAsia"/>
        </w:rPr>
        <w:t>病虫害防治</w:t>
      </w:r>
      <w:bookmarkEnd w:id="64"/>
      <w:bookmarkEnd w:id="65"/>
    </w:p>
    <w:p>
      <w:pPr>
        <w:pStyle w:val="56"/>
        <w:ind w:firstLine="420"/>
      </w:pPr>
      <w:r>
        <w:rPr>
          <w:rFonts w:hint="eastAsia"/>
        </w:rPr>
        <w:t>具体技术内容按照NY/T 1082的规定执行。</w:t>
      </w:r>
    </w:p>
    <w:p>
      <w:pPr>
        <w:pStyle w:val="104"/>
        <w:spacing w:before="312" w:after="312"/>
      </w:pPr>
      <w:bookmarkStart w:id="66" w:name="_Toc165666631"/>
      <w:bookmarkStart w:id="67" w:name="_Toc165665794"/>
      <w:r>
        <w:rPr>
          <w:rFonts w:hint="eastAsia"/>
        </w:rPr>
        <w:t>生产档案</w:t>
      </w:r>
      <w:bookmarkEnd w:id="66"/>
      <w:bookmarkEnd w:id="67"/>
    </w:p>
    <w:p>
      <w:pPr>
        <w:pStyle w:val="56"/>
        <w:ind w:firstLine="420"/>
      </w:pPr>
      <w:r>
        <w:rPr>
          <w:rFonts w:hint="eastAsia"/>
        </w:rPr>
        <w:t>建立苹果园间伐改形技术生产档案，档案保存期限不低于2年，具体内容见附录A。</w:t>
      </w: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4"/>
    <w:p>
      <w:pPr>
        <w:pStyle w:val="198"/>
        <w:rPr>
          <w:vanish w:val="0"/>
        </w:rPr>
      </w:pPr>
      <w:bookmarkStart w:id="68" w:name="BookMark5"/>
    </w:p>
    <w:p>
      <w:pPr>
        <w:pStyle w:val="199"/>
        <w:rPr>
          <w:vanish w:val="0"/>
        </w:rPr>
      </w:pPr>
    </w:p>
    <w:p>
      <w:pPr>
        <w:pStyle w:val="76"/>
        <w:spacing w:after="156"/>
      </w:pPr>
      <w:r>
        <w:br w:type="textWrapping"/>
      </w:r>
      <w:bookmarkStart w:id="69" w:name="_Toc165665795"/>
      <w:bookmarkStart w:id="70" w:name="_Toc165666632"/>
      <w:r>
        <w:rPr>
          <w:rFonts w:hint="eastAsia"/>
        </w:rPr>
        <w:t>（资料性）</w:t>
      </w:r>
      <w:r>
        <w:br w:type="textWrapping"/>
      </w:r>
      <w:r>
        <w:rPr>
          <w:rFonts w:hint="eastAsia"/>
        </w:rPr>
        <w:t>苹果园间伐改形生产档案</w:t>
      </w:r>
      <w:bookmarkEnd w:id="69"/>
      <w:bookmarkEnd w:id="70"/>
    </w:p>
    <w:p>
      <w:pPr>
        <w:pStyle w:val="56"/>
        <w:ind w:firstLine="420"/>
      </w:pPr>
      <w:r>
        <w:rPr>
          <w:rFonts w:hint="eastAsia" w:hAnsi="宋体"/>
        </w:rPr>
        <w:t>苹果园间伐改形生产记录见表A.1。</w:t>
      </w:r>
    </w:p>
    <w:p>
      <w:pPr>
        <w:pStyle w:val="77"/>
        <w:spacing w:before="156" w:after="156"/>
      </w:pPr>
      <w:r>
        <w:rPr>
          <w:rFonts w:hint="eastAsia"/>
        </w:rPr>
        <w:t>苹果园间伐改形生产记录表</w:t>
      </w:r>
    </w:p>
    <w:p>
      <w:pPr>
        <w:pStyle w:val="231"/>
        <w:ind w:firstLine="0" w:firstLineChars="0"/>
        <w:rPr>
          <w:color w:val="FF0000"/>
        </w:rPr>
      </w:pPr>
      <w:r>
        <w:rPr>
          <w:rFonts w:hint="eastAsia"/>
        </w:rPr>
        <w:t>种植农户：        种植面积：         果园地点：       定植年份：      间伐改形年份：</w:t>
      </w:r>
    </w:p>
    <w:tbl>
      <w:tblPr>
        <w:tblStyle w:val="26"/>
        <w:tblW w:w="506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8"/>
        <w:gridCol w:w="800"/>
        <w:gridCol w:w="1169"/>
        <w:gridCol w:w="1169"/>
        <w:gridCol w:w="1175"/>
        <w:gridCol w:w="1175"/>
        <w:gridCol w:w="1175"/>
        <w:gridCol w:w="1171"/>
        <w:gridCol w:w="117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12" w:space="0"/>
              <w:left w:val="single" w:color="000000" w:sz="12" w:space="0"/>
              <w:bottom w:val="single" w:color="000000" w:sz="4" w:space="0"/>
              <w:right w:val="single" w:color="000000" w:sz="4" w:space="0"/>
            </w:tcBorders>
            <w:vAlign w:val="center"/>
          </w:tcPr>
          <w:p>
            <w:pPr>
              <w:jc w:val="center"/>
              <w:rPr>
                <w:rFonts w:ascii="宋体" w:hAnsi="宋体"/>
                <w:b/>
              </w:rPr>
            </w:pPr>
            <w:r>
              <w:rPr>
                <w:rFonts w:hint="eastAsia" w:ascii="宋体" w:hAnsi="宋体"/>
                <w:b/>
              </w:rPr>
              <w:t>记录日期</w:t>
            </w:r>
          </w:p>
        </w:tc>
        <w:tc>
          <w:tcPr>
            <w:tcW w:w="413"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间伐方式</w:t>
            </w:r>
          </w:p>
        </w:tc>
        <w:tc>
          <w:tcPr>
            <w:tcW w:w="603"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亩留株数（棵）</w:t>
            </w:r>
          </w:p>
        </w:tc>
        <w:tc>
          <w:tcPr>
            <w:tcW w:w="603"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改形措施</w:t>
            </w:r>
          </w:p>
        </w:tc>
        <w:tc>
          <w:tcPr>
            <w:tcW w:w="606"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疏枝量（枝）</w:t>
            </w:r>
          </w:p>
        </w:tc>
        <w:tc>
          <w:tcPr>
            <w:tcW w:w="606" w:type="pct"/>
            <w:tcBorders>
              <w:top w:val="single" w:color="000000" w:sz="12" w:space="0"/>
              <w:left w:val="single" w:color="000000" w:sz="4" w:space="0"/>
              <w:bottom w:val="single" w:color="000000" w:sz="4" w:space="0"/>
              <w:right w:val="single" w:color="000000" w:sz="4" w:space="0"/>
            </w:tcBorders>
            <w:vAlign w:val="center"/>
          </w:tcPr>
          <w:p>
            <w:pPr>
              <w:jc w:val="center"/>
              <w:rPr>
                <w:b/>
              </w:rPr>
            </w:pPr>
            <w:r>
              <w:rPr>
                <w:rFonts w:hint="eastAsia" w:ascii="宋体" w:hAnsi="宋体"/>
                <w:b/>
              </w:rPr>
              <w:t>落头高度（米）</w:t>
            </w:r>
          </w:p>
        </w:tc>
        <w:tc>
          <w:tcPr>
            <w:tcW w:w="606"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花果管理措施</w:t>
            </w:r>
          </w:p>
        </w:tc>
        <w:tc>
          <w:tcPr>
            <w:tcW w:w="604" w:type="pct"/>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b/>
              </w:rPr>
            </w:pPr>
            <w:r>
              <w:rPr>
                <w:rFonts w:hint="eastAsia" w:ascii="宋体" w:hAnsi="宋体"/>
                <w:b/>
              </w:rPr>
              <w:t>肥水管理措施</w:t>
            </w:r>
          </w:p>
        </w:tc>
        <w:tc>
          <w:tcPr>
            <w:tcW w:w="605" w:type="pct"/>
            <w:tcBorders>
              <w:top w:val="single" w:color="000000" w:sz="12" w:space="0"/>
              <w:left w:val="single" w:color="000000" w:sz="4" w:space="0"/>
              <w:bottom w:val="single" w:color="000000" w:sz="4" w:space="0"/>
              <w:right w:val="single" w:color="000000" w:sz="12" w:space="0"/>
            </w:tcBorders>
            <w:vAlign w:val="center"/>
          </w:tcPr>
          <w:p>
            <w:pPr>
              <w:jc w:val="center"/>
              <w:rPr>
                <w:rFonts w:ascii="宋体" w:hAnsi="宋体"/>
                <w:b/>
              </w:rPr>
            </w:pPr>
            <w:r>
              <w:rPr>
                <w:rFonts w:hint="eastAsia" w:ascii="宋体" w:hAnsi="宋体"/>
                <w:b/>
              </w:rPr>
              <w:t>病虫害防治措施</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1" w:hRule="atLeast"/>
          <w:jc w:val="center"/>
        </w:trPr>
        <w:tc>
          <w:tcPr>
            <w:tcW w:w="350"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4" w:space="0"/>
              <w:left w:val="single" w:color="000000" w:sz="12" w:space="0"/>
              <w:bottom w:val="single" w:color="000000" w:sz="4"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4" w:space="0"/>
              <w:right w:val="single" w:color="000000" w:sz="12" w:space="0"/>
            </w:tcBorders>
            <w:vAlign w:val="center"/>
          </w:tcPr>
          <w:p>
            <w:pPr>
              <w:jc w:val="center"/>
              <w:rPr>
                <w:rFonts w:ascii="宋体" w:hAnsi="宋体"/>
                <w:color w:val="00000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350" w:type="pct"/>
            <w:tcBorders>
              <w:top w:val="single" w:color="000000" w:sz="4" w:space="0"/>
              <w:left w:val="single" w:color="000000" w:sz="12" w:space="0"/>
              <w:bottom w:val="single" w:color="000000" w:sz="12" w:space="0"/>
              <w:right w:val="single" w:color="000000" w:sz="4" w:space="0"/>
            </w:tcBorders>
            <w:vAlign w:val="center"/>
          </w:tcPr>
          <w:p>
            <w:pPr>
              <w:jc w:val="center"/>
              <w:rPr>
                <w:rFonts w:ascii="宋体" w:hAnsi="宋体"/>
                <w:color w:val="000000"/>
              </w:rPr>
            </w:pPr>
          </w:p>
        </w:tc>
        <w:tc>
          <w:tcPr>
            <w:tcW w:w="413"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3"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6"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4" w:type="pct"/>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rPr>
            </w:pPr>
          </w:p>
        </w:tc>
        <w:tc>
          <w:tcPr>
            <w:tcW w:w="605" w:type="pct"/>
            <w:tcBorders>
              <w:top w:val="single" w:color="000000" w:sz="4" w:space="0"/>
              <w:left w:val="single" w:color="000000" w:sz="4" w:space="0"/>
              <w:bottom w:val="single" w:color="000000" w:sz="12" w:space="0"/>
              <w:right w:val="single" w:color="000000" w:sz="12" w:space="0"/>
            </w:tcBorders>
            <w:vAlign w:val="center"/>
          </w:tcPr>
          <w:p>
            <w:pPr>
              <w:jc w:val="center"/>
              <w:rPr>
                <w:rFonts w:ascii="宋体" w:hAnsi="宋体"/>
                <w:color w:val="000000"/>
              </w:rPr>
            </w:pPr>
          </w:p>
        </w:tc>
      </w:tr>
      <w:bookmarkEnd w:id="68"/>
    </w:tbl>
    <w:p>
      <w:pPr>
        <w:pStyle w:val="56"/>
        <w:ind w:firstLine="0" w:firstLineChars="0"/>
        <w:jc w:val="center"/>
      </w:pPr>
      <w:bookmarkStart w:id="7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71"/>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文泉驿微米黑"/>
    <w:panose1 w:val="00000000000000000000"/>
    <w:charset w:val="86"/>
    <w:family w:val="auto"/>
    <w:pitch w:val="default"/>
    <w:sig w:usb0="00000000" w:usb1="00000000" w:usb2="00000016" w:usb3="00000000" w:csb0="0004000F" w:csb1="00000000"/>
  </w:font>
  <w:font w:name="等线 Light">
    <w:altName w:val="文泉驿微米黑"/>
    <w:panose1 w:val="00000000000000000000"/>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1468—2024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1468—2024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1468—2024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1468—2024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1468—2024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1468—2024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1468—2024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1468—2024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241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MTlkNTlhZGRjN2Y0ZTU2MDhlOGM4Y2FiZjE5YTEifQ=="/>
  </w:docVars>
  <w:rsids>
    <w:rsidRoot w:val="00B87A0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52C"/>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17B"/>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1C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DE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D31"/>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7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1AF"/>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62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4A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E14"/>
    <w:rsid w:val="00B758BF"/>
    <w:rsid w:val="00B77EC8"/>
    <w:rsid w:val="00B827A6"/>
    <w:rsid w:val="00B831CE"/>
    <w:rsid w:val="00B86677"/>
    <w:rsid w:val="00B87131"/>
    <w:rsid w:val="00B87A0A"/>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A0A"/>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89D"/>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DB26E8B"/>
    <w:rsid w:val="29B5583D"/>
    <w:rsid w:val="2A8B1BE9"/>
    <w:rsid w:val="7FF7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kern w:val="0"/>
    </w:rPr>
  </w:style>
  <w:style w:type="paragraph" w:customStyle="1" w:styleId="232">
    <w:name w:val="二级条标题"/>
    <w:basedOn w:val="1"/>
    <w:next w:val="231"/>
    <w:qFormat/>
    <w:uiPriority w:val="0"/>
    <w:pPr>
      <w:widowControl/>
      <w:adjustRightInd/>
      <w:spacing w:beforeLines="50" w:afterLines="50" w:line="240" w:lineRule="auto"/>
      <w:jc w:val="left"/>
      <w:outlineLvl w:val="3"/>
    </w:pPr>
    <w:rPr>
      <w:rFonts w:ascii="黑体"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1EABF36F1874C859D3438E8C9BF452D"/>
        <w:style w:val=""/>
        <w:category>
          <w:name w:val="常规"/>
          <w:gallery w:val="placeholder"/>
        </w:category>
        <w:types>
          <w:type w:val="bbPlcHdr"/>
        </w:types>
        <w:behaviors>
          <w:behavior w:val="content"/>
        </w:behaviors>
        <w:description w:val=""/>
        <w:guid w:val="{9820EFFF-C490-4C31-B6C9-1582BDAC0EBB}"/>
      </w:docPartPr>
      <w:docPartBody>
        <w:p>
          <w:pPr>
            <w:pStyle w:val="5"/>
          </w:pPr>
          <w:r>
            <w:rPr>
              <w:rStyle w:val="4"/>
              <w:rFonts w:hint="eastAsia"/>
            </w:rPr>
            <w:t>单击或点击此处输入文字。</w:t>
          </w:r>
        </w:p>
      </w:docPartBody>
    </w:docPart>
    <w:docPart>
      <w:docPartPr>
        <w:name w:val="217AD51556424D6893573AD29099A0CF"/>
        <w:style w:val=""/>
        <w:category>
          <w:name w:val="常规"/>
          <w:gallery w:val="placeholder"/>
        </w:category>
        <w:types>
          <w:type w:val="bbPlcHdr"/>
        </w:types>
        <w:behaviors>
          <w:behavior w:val="content"/>
        </w:behaviors>
        <w:description w:val=""/>
        <w:guid w:val="{8F47FAF1-D7A3-43C2-AE7D-45126C529623}"/>
      </w:docPartPr>
      <w:docPartBody>
        <w:p>
          <w:pPr>
            <w:pStyle w:val="6"/>
          </w:pPr>
          <w:r>
            <w:rPr>
              <w:rStyle w:val="4"/>
              <w:rFonts w:hint="eastAsia"/>
            </w:rPr>
            <w:t>选择一项。</w:t>
          </w:r>
        </w:p>
      </w:docPartBody>
    </w:docPart>
    <w:docPart>
      <w:docPartPr>
        <w:name w:val="4FF6788448A2458A88B7B84AE0B56C5B"/>
        <w:style w:val=""/>
        <w:category>
          <w:name w:val="常规"/>
          <w:gallery w:val="placeholder"/>
        </w:category>
        <w:types>
          <w:type w:val="bbPlcHdr"/>
        </w:types>
        <w:behaviors>
          <w:behavior w:val="content"/>
        </w:behaviors>
        <w:description w:val=""/>
        <w:guid w:val="{BFEE1C12-6FE3-4371-8C63-0C64477B942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文泉驿微米黑"/>
    <w:panose1 w:val="00000000000000000000"/>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BC6"/>
    <w:rsid w:val="004929F3"/>
    <w:rsid w:val="007E6BC6"/>
    <w:rsid w:val="00AD0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EABF36F1874C859D3438E8C9BF45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17AD51556424D6893573AD29099A0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FF6788448A2458A88B7B84AE0B56C5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1948</Words>
  <Characters>2145</Characters>
  <Lines>331</Lines>
  <Paragraphs>298</Paragraphs>
  <TotalTime>1</TotalTime>
  <ScaleCrop>false</ScaleCrop>
  <LinksUpToDate>false</LinksUpToDate>
  <CharactersWithSpaces>2266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2024-05-03T20:43:00Z</dcterms:created>
  <dc:creator>Microsoft</dc:creator>
  <dc:description>&lt;config cover="true" show_menu="true" version="1.0.0" doctype="SDKXY"&gt;_x000d_
&lt;/config&gt;</dc:description>
  <cp:lastModifiedBy>baixin</cp:lastModifiedBy>
  <cp:lastPrinted>2020-08-30T18:00:00Z</cp:lastPrinted>
  <dcterms:modified xsi:type="dcterms:W3CDTF">2024-08-07T11:05:41Z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2052-11.8.2.10290</vt:lpwstr>
  </property>
  <property fmtid="{D5CDD505-2E9C-101B-9397-08002B2CF9AE}" pid="16" name="ICV">
    <vt:lpwstr>C81A988164B24141AEBBDFF5F10FA8F2_12</vt:lpwstr>
  </property>
</Properties>
</file>